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50" w:lineRule="atLeas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shd w:val="clear" w:color="auto" w:fill="FFFFFF"/>
        </w:rPr>
        <w:t>安徽省物业服务企业综合能力测评分值计算表</w:t>
      </w:r>
    </w:p>
    <w:p>
      <w:pPr>
        <w:widowControl/>
        <w:spacing w:line="450" w:lineRule="atLeast"/>
        <w:jc w:val="center"/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shd w:val="clear" w:color="auto" w:fill="FFFFFF"/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征求意见稿</w:t>
      </w:r>
      <w:r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shd w:val="clear" w:color="auto" w:fill="FFFFFF"/>
        </w:rPr>
        <w:t>）</w:t>
      </w:r>
    </w:p>
    <w:p>
      <w:pPr>
        <w:widowControl/>
        <w:spacing w:line="450" w:lineRule="atLeast"/>
        <w:jc w:val="center"/>
        <w:rPr>
          <w:rFonts w:hint="eastAsia" w:ascii="黑体" w:hAnsi="宋体" w:eastAsia="黑体" w:cs="黑体"/>
          <w:b/>
          <w:bCs/>
          <w:color w:val="000000"/>
          <w:kern w:val="0"/>
          <w:sz w:val="32"/>
          <w:szCs w:val="32"/>
          <w:shd w:val="clear" w:color="auto" w:fill="FFFFFF"/>
        </w:rPr>
      </w:pPr>
    </w:p>
    <w:p>
      <w:pPr>
        <w:widowControl/>
        <w:spacing w:line="450" w:lineRule="atLeast"/>
        <w:jc w:val="center"/>
        <w:rPr>
          <w:rFonts w:ascii="Calibri" w:hAnsi="Calibri" w:cs="Calibri"/>
          <w:szCs w:val="21"/>
        </w:rPr>
      </w:pPr>
    </w:p>
    <w:tbl>
      <w:tblPr>
        <w:tblStyle w:val="5"/>
        <w:tblW w:w="6039" w:type="pct"/>
        <w:tblInd w:w="-5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8"/>
        <w:gridCol w:w="4555"/>
        <w:gridCol w:w="1606"/>
        <w:gridCol w:w="886"/>
        <w:gridCol w:w="171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编号</w:t>
            </w:r>
          </w:p>
        </w:tc>
        <w:tc>
          <w:tcPr>
            <w:tcW w:w="221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内容</w:t>
            </w:r>
          </w:p>
        </w:tc>
        <w:tc>
          <w:tcPr>
            <w:tcW w:w="78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填报</w:t>
            </w:r>
          </w:p>
          <w:p>
            <w:pPr>
              <w:widowControl/>
              <w:spacing w:line="240" w:lineRule="atLeast"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格式</w:t>
            </w:r>
          </w:p>
        </w:tc>
        <w:tc>
          <w:tcPr>
            <w:tcW w:w="43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对应</w:t>
            </w:r>
          </w:p>
          <w:p>
            <w:pPr>
              <w:widowControl/>
              <w:spacing w:line="240" w:lineRule="atLeast"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83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打分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适配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党建工作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70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1.根据党组织制度,建立组织机构,党组织工作资料齐全。10分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2.发展党员,党员信息管理,受员组织关系管理、党员民主评议,群众工作等程序规范。10分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3.执行落实“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会一课”,开展组织生活主题教育党风党纪党规教育、警示教育。10分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  <w:shd w:val="clear" w:color="FFFFFF" w:fill="D9D9D9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4.记录清晰完整。完全符合得满分,基本符合得满分分~1分,不符合不得分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3</w:t>
            </w:r>
            <w:r>
              <w:rPr>
                <w:rFonts w:hint="eastAsia" w:ascii="Calibri" w:hAnsi="Calibri" w:cs="Calibri"/>
              </w:rPr>
              <w:t>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相应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1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1.党建工作纳入公司章程。党员在企业中亮明身份,当先锋,做表率。满分10分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2.执行落实廉政建设规定,明确一岗双责,强化廉政建设主体责任,开展廉政建设活动。满分10分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4.记录清晰完整。完全符合得满分,基本符合得满分分~1分,不符合不得分</w:t>
            </w:r>
          </w:p>
        </w:tc>
        <w:tc>
          <w:tcPr>
            <w:tcW w:w="780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2</w:t>
            </w:r>
            <w:r>
              <w:rPr>
                <w:rFonts w:hint="eastAsia" w:ascii="Calibri" w:hAnsi="Calibri" w:cs="Calibri"/>
              </w:rPr>
              <w:t>0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  <w:t>1.参加上级党组织的党建活动或相关社会团体,组织机构的联学共建活动,组织开展本级党组织活动。记录清晰完整。每参加或组织1次得1分，满分8分。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  <w:t>2.获得党组织机构或参加党组织活动颁发的荣誉证书。每获评1项得1分，满分8分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  <w:t>3.红色物业服务理念融入小区物业服务，积极主动与社区党组织、居委会、业委会协调联动.4分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  <w:t>4.记录清晰完整。完全符合得满分,基本符合得满分分~1分,不符合不得分</w:t>
            </w:r>
          </w:p>
        </w:tc>
        <w:tc>
          <w:tcPr>
            <w:tcW w:w="780" w:type="pct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cs="Calibri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cs="Calibri" w:eastAsiaTheme="minorEastAsia"/>
                <w:lang w:val="en-US" w:eastAsia="zh-CN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20</w:t>
            </w:r>
          </w:p>
        </w:tc>
        <w:tc>
          <w:tcPr>
            <w:tcW w:w="83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  <w:t>员工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情况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cs="Calibri" w:eastAsiaTheme="minorEastAsia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lang w:val="en-US" w:eastAsia="zh-CN"/>
              </w:rPr>
              <w:t>55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中级以上职称的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员工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在15人及以上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人数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（人）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10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中级以上职称的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员工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在5-14人的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5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2.1.3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中级以上职称的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员工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在1-4人的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3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工程、财务等业务负责人具有相应专业中级及以上职称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相应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2.3.1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大专学历以上员工占企业在编员工比例在30%（含）以上的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占比数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（%）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10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9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2.3.2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大专学历以上员工占企业在编员工比例达15%（含）以上的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5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2.3.3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大专学历以上员工占企业在编员工比例达15%（含)以下的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3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2.4.1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参加职业技能等级认定占企业在编员工比例15%（含)以上的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/>
                <w:lang w:val="en-US" w:eastAsia="zh-CN"/>
              </w:rPr>
            </w:pPr>
            <w:r>
              <w:rPr>
                <w:rFonts w:hint="eastAsia" w:ascii="Calibri" w:hAnsi="Calibri" w:cs="Calibri"/>
                <w:lang w:val="en-US" w:eastAsia="zh-CN"/>
              </w:rPr>
              <w:t>10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取最大分值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2.4.2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参加职业技能等级认定占企业在编员工比例10%（含)以上的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人次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（次）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2.4.3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参加职业技能等级认定占企业在编员工比例5%（含)以下的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83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全国级先进个人、班组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取最大分值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省、直辖市级先进个人、班组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省、直辖市级相关部门先进个人、班组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省、市建设系统竞赛先进个人、班组/省市十佳项目经理、最美物业人标兵/党建先进个人/安徽省物业工匠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省、市物业管理优秀项目经理、最美物业人/中国物业管理协会安徽省物业管理行业协会先进个人/安徽省物业管理优秀服务能手/党建先进个人/省、市物业行业职业技能竞赛技术能手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cs="Calibri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83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公司制度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45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3.1.1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企业内控管理制度覆盖企业内部环境、风院评估、管理活动信息与沟通、内部监督、法律事务等管理规定,符合企业管理需求,并组织实施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完全符合得10分，基本符合得9分~1分，不符合不得分</w:t>
            </w:r>
          </w:p>
        </w:tc>
        <w:tc>
          <w:tcPr>
            <w:tcW w:w="780" w:type="pct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834" w:type="pct"/>
            <w:vMerge w:val="restart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取相应分值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3.1.2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财务管理制度覆盖财务、采购与使用,预算及成本控制,库房等方面的管理规定,符合企业管理需求，并组织实施。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完全符合得10分，基本符合得9分-1分，不符合不得分</w:t>
            </w:r>
          </w:p>
        </w:tc>
        <w:tc>
          <w:tcPr>
            <w:tcW w:w="780" w:type="pct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3.1.3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人力资源管理制度覆盖人力资源规划、人员招聘、员工培训与开发、绩效、薪酬,劳动关系等管理规定,符合企业人力资源管理需求，并维织实施完全符合得10分,基本符合得9分一1分，不符合不得分</w:t>
            </w:r>
          </w:p>
        </w:tc>
        <w:tc>
          <w:tcPr>
            <w:tcW w:w="780" w:type="pct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3.1.4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行政管理制度覆盖企业文化,证照与印章、文件、档案、会议、保密、工服配备、公车,固定资产及低值易耗品、合同、员工宿舍及食堂等管理规定,符合企业行政管理需求,并组织实施。完全符合得10分，基本符合得9分~1分，不符合不得分</w:t>
            </w:r>
          </w:p>
        </w:tc>
        <w:tc>
          <w:tcPr>
            <w:tcW w:w="780" w:type="pct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3.1.5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安全生产制度覆盖安全生产教育和培训、安全生产检查、安全风险管控、安全隐惠排查、劳动防护用品配备、安全生产事故报告和处理等管理规定,符合企业安全生产管理需求,并组织实施完全符合得10分,基本符合得9分1分，不符合不得分</w:t>
            </w:r>
          </w:p>
        </w:tc>
        <w:tc>
          <w:tcPr>
            <w:tcW w:w="780" w:type="pct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3.1.6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信息化管理制度覆盖数据收集、使用、保存、安全等管理规定,符合企业信息化管理需求,并组织实施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完全符合得5分，基本符合得4分~1分,不符合不得分</w:t>
            </w:r>
          </w:p>
        </w:tc>
        <w:tc>
          <w:tcPr>
            <w:tcW w:w="780" w:type="pct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83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 w:eastAsiaTheme="minorEastAsia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财务状况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160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营业总收入在5000万元以上，每增加200万元加1分，以此类推。最高70分。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（万元）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营业总收入2000万元-5000万元，2000万元起每增加100万元加1分，以此类推。最高65分。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营业总收入1000万元-2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00万元，1000万元起每增加50万元加1分，以此类推。最高50分。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营业总收入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万元-1000万元，250万元起每增加50万元加1分，以此类推。最高40分。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营业总收入2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0万元-500万元，200万元起每增加30万元加1分，以此类推。最高25分。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.1.6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营业总收入在2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0万元以下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利润总额在500万元及以上的，每增加50万元加1分，以此类推。最高70分。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（万元）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利润总额在300万元-500万元，300万元起每增加10万元加1分，以此类推。最高60分。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利润总额在150万元-300万元，150万元每增加15万元加1分，以此类推。最高50分。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利润总额在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50万元-150万元，50万元起每增加10万元加1分，以此类推。最高30分。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利润总额在50万元以下的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.3.1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利润率在3%及以上的，每增长1%加1分，以此类推。最高20分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利润率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（%）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.3.2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利润率在0-3%的</w:t>
            </w:r>
          </w:p>
        </w:tc>
        <w:tc>
          <w:tcPr>
            <w:tcW w:w="780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管理规模及业态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</w:rPr>
              <w:t>150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管理面积在800万平方米及以上的，每增加100万平米加1分，以此类推。最高50分。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（万平方米）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管理面积在400万平方米-800万平方米，400万平方米起每增加25万平米加1分，以此类推。最高40分。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管理面积在100万平方米-400万平方米，100万平方米起每增加15万平米加1分，以此类推。最高30分。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管理面积在50万平方米-100万平方米，50万平方米起每增加5万平米加1分，以此类推。最高20分。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管理面积在50万平方米以下的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管理项目每1项折合1分，最高50分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（项）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相应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省优秀示范项目（有效期内）每1项折合15分，最高50分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（项）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相应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 w:eastAsiaTheme="minorEastAsia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Cs w:val="21"/>
                <w:lang w:val="en-US" w:eastAsia="zh-CN"/>
              </w:rPr>
              <w:t>6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合同续签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50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企业物业服务合同总体续签率在90%及以上的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续签率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（%）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企业物业服务合同总体续签率81%-90%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企业物业服务合同总体续签率71%-80%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企业物业服务合同总体续签率51%-70%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企业物业服务合同总体续签率低于50%及以下的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cs="Calibri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诚信参与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100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企业项目物业服务业主满意度9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%及以上，每个项目折合10分，最高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0分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取最大分值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企业项目物业服务业主满意度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%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-95%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，每个项目折合10分，最高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分</w:t>
            </w:r>
          </w:p>
        </w:tc>
        <w:tc>
          <w:tcPr>
            <w:tcW w:w="780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30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7.3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矛盾调处及时有效，每个案例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2，最高20分</w:t>
            </w:r>
          </w:p>
        </w:tc>
        <w:tc>
          <w:tcPr>
            <w:tcW w:w="780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83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创新工作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100</w:t>
            </w:r>
          </w:p>
        </w:tc>
        <w:tc>
          <w:tcPr>
            <w:tcW w:w="834" w:type="pct"/>
            <w:vMerge w:val="restart"/>
            <w:tcBorders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相应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  <w:szCs w:val="21"/>
              </w:rPr>
              <w:t>有科技创新项目并有主管部门颁发证书或奖章，1次10分，最高30分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30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有智慧管理设备和系统，每个项目5分，最高30分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30</w:t>
            </w:r>
          </w:p>
        </w:tc>
        <w:tc>
          <w:tcPr>
            <w:tcW w:w="834" w:type="pct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有节能减排等措施并有实施，每个项目10分，最高40分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40</w:t>
            </w:r>
          </w:p>
        </w:tc>
        <w:tc>
          <w:tcPr>
            <w:tcW w:w="834" w:type="pct"/>
            <w:vMerge w:val="continue"/>
            <w:tcBorders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cs="Calibri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企业荣誉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50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全国级先进集体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省、市级相关部门先进集体，如“市文明单位”“工人先锋号”等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省、市建设系统竞赛先进集体，省、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市级党建先进集体等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中国物业管理协会、省物业管理行业协会优秀会员单位/党建先进集体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企业获得其它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省级集体荣誉的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cs="Calibri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市场监管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80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税务信用A级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A或B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Calibri" w:hAnsi="Calibri" w:cs="Calibri"/>
              </w:rPr>
              <w:t>40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税务信用B级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已建立完整的服务管理体系，通过质量、环境、职业与健康安全体系外部认证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已建立完整的服务管理体系，通过质量体系外部认证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已建立完整的企业内部管理体系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社会责任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80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参与捐赠、助学、援疆、援边等公益活动的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相应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企业新增就业人数20人以上的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有/无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纳税总额在400万元及以上的，每增加25万元加1分，以此类推，最高60分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（万元）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60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取最大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纳税总额在100-400万元的，每增加15万元加1分，以此类推，最高40分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纳税总额低于100万元且正常缴纳的</w:t>
            </w:r>
          </w:p>
        </w:tc>
        <w:tc>
          <w:tcPr>
            <w:tcW w:w="78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行业参与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60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.1.1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参与安徽省、市级、中物协层面标准（课题）制订、研究的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50</w:t>
            </w:r>
          </w:p>
        </w:tc>
        <w:tc>
          <w:tcPr>
            <w:tcW w:w="834" w:type="pct"/>
            <w:vMerge w:val="restar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取对应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分值</w:t>
            </w:r>
          </w:p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（取最高分）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参与安徽物协行业标准制订、研究的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.1.3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参与安徽物协评审立项的年度课题研究的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.1.4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参与安徽物协评审立项的自主课题研究的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.1.5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参与安徽物协立项的年度课题研究并通过年终评审的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20</w:t>
            </w:r>
          </w:p>
        </w:tc>
        <w:tc>
          <w:tcPr>
            <w:tcW w:w="834" w:type="pct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.1.6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参与安徽物协立项的自主课题研究并通过年终评审的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.2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积极参加行业组织的各项活动、会议的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是/否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相应分值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</w:trPr>
        <w:tc>
          <w:tcPr>
            <w:tcW w:w="7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1000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zNjdjMDMxY2VkNGZjOTMyYTcwYzE5MDM0ZjJhMzIifQ=="/>
    <w:docVar w:name="KSO_WPS_MARK_KEY" w:val="ce181042-505d-4bb5-be3e-f4a127932aba"/>
  </w:docVars>
  <w:rsids>
    <w:rsidRoot w:val="000621D3"/>
    <w:rsid w:val="000621D3"/>
    <w:rsid w:val="00150CCB"/>
    <w:rsid w:val="00315B10"/>
    <w:rsid w:val="00586737"/>
    <w:rsid w:val="007F4CF5"/>
    <w:rsid w:val="0084781D"/>
    <w:rsid w:val="00936BF9"/>
    <w:rsid w:val="009457FC"/>
    <w:rsid w:val="009667DC"/>
    <w:rsid w:val="00B74FBB"/>
    <w:rsid w:val="00BB67C3"/>
    <w:rsid w:val="00BE0DA9"/>
    <w:rsid w:val="00E111CF"/>
    <w:rsid w:val="00E8102C"/>
    <w:rsid w:val="00FC7888"/>
    <w:rsid w:val="02854333"/>
    <w:rsid w:val="04212517"/>
    <w:rsid w:val="06BE35C9"/>
    <w:rsid w:val="06FC2DC7"/>
    <w:rsid w:val="08F17FDE"/>
    <w:rsid w:val="0EC72A73"/>
    <w:rsid w:val="13BA2040"/>
    <w:rsid w:val="154A11A2"/>
    <w:rsid w:val="1C2E35CB"/>
    <w:rsid w:val="1D7B163B"/>
    <w:rsid w:val="1D9B4C90"/>
    <w:rsid w:val="210E338C"/>
    <w:rsid w:val="21BF4CC5"/>
    <w:rsid w:val="2519649B"/>
    <w:rsid w:val="25C12DBA"/>
    <w:rsid w:val="25E27116"/>
    <w:rsid w:val="25F7131B"/>
    <w:rsid w:val="26FB054E"/>
    <w:rsid w:val="28411C80"/>
    <w:rsid w:val="28501318"/>
    <w:rsid w:val="29167F21"/>
    <w:rsid w:val="2B45448D"/>
    <w:rsid w:val="2F0D30C9"/>
    <w:rsid w:val="309A2B85"/>
    <w:rsid w:val="30C6397A"/>
    <w:rsid w:val="30F80E87"/>
    <w:rsid w:val="389D4FA8"/>
    <w:rsid w:val="416E2607"/>
    <w:rsid w:val="435A7F52"/>
    <w:rsid w:val="499D777D"/>
    <w:rsid w:val="4D27266D"/>
    <w:rsid w:val="51752B27"/>
    <w:rsid w:val="54B020C8"/>
    <w:rsid w:val="558D3596"/>
    <w:rsid w:val="577E46FF"/>
    <w:rsid w:val="57951681"/>
    <w:rsid w:val="583D5ED5"/>
    <w:rsid w:val="589368E0"/>
    <w:rsid w:val="5B7756EE"/>
    <w:rsid w:val="5C4A54BD"/>
    <w:rsid w:val="63B53257"/>
    <w:rsid w:val="645050CE"/>
    <w:rsid w:val="69381C7D"/>
    <w:rsid w:val="6F723F91"/>
    <w:rsid w:val="71AE5DF1"/>
    <w:rsid w:val="738E13CF"/>
    <w:rsid w:val="76BD3DDE"/>
    <w:rsid w:val="7722255A"/>
    <w:rsid w:val="779F022A"/>
    <w:rsid w:val="79033A76"/>
    <w:rsid w:val="7F1B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3760CE-4001-488E-8FBF-7F8BB703BF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3424</Words>
  <Characters>4042</Characters>
  <Lines>23</Lines>
  <Paragraphs>6</Paragraphs>
  <TotalTime>2</TotalTime>
  <ScaleCrop>false</ScaleCrop>
  <LinksUpToDate>false</LinksUpToDate>
  <CharactersWithSpaces>4065</CharactersWithSpaces>
  <Application>WPS Office_11.1.0.12759_F1E327BC-269C-435d-A152-05C5408002CA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2024-08-21T08:08:00Z</dcterms:created>
  <dc:creator>Administrator</dc:creator>
  <cp:lastModifiedBy>Administrator</cp:lastModifiedBy>
  <dcterms:modified xsi:type="dcterms:W3CDTF">2024-09-30T01:50:53Z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1871A089F7284D2FA9D7AD9135E033BC_13</vt:lpwstr>
  </property>
</Properties>
</file>